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174</w:t>
      </w:r>
    </w:p>
    <w:p>
      <w:r>
        <w:t>Bundesgericht (BGE), 1966-10-31, DE</w:t>
      </w:r>
    </w:p>
    <w:p>
      <w:r>
        <w:rPr>
          <w:b/>
        </w:rPr>
        <w:t xml:space="preserve">Quelle: </w:t>
      </w:r>
      <w:r>
        <w:t>https://mcp.opencaselaw.ch/entscheid/bge_92 IV 174</w:t>
      </w:r>
    </w:p>
    <w:p>
      <w:r>
        <w:t>FR: ATF 92 IV 174</w:t>
      </w:r>
    </w:p>
    <w:p>
      <w:r>
        <w:t>IT: DTF 92 IV 174</w:t>
      </w:r>
    </w:p>
    <w:p>
      <w:pPr>
        <w:pStyle w:val="Heading2"/>
      </w:pPr>
      <w:r>
        <w:t>Regeste</w:t>
      </w:r>
    </w:p>
    <w:p>
      <w:r>
        <w:t>Regeste Art. 140 Ziff. 1 StGB. 1. Agenturvertrag: Die Waren, die er zum Verkaufe erhält, sowie ihr Erlös sind dem Agenten im Sinne von Art. 140 Ziff. 1 StGB anvertraut (Erw. 1). 2. Das gilt selbst dann, wenn der Vertrag zivilrechtlich ungültig ist (Erw. 2).</w:t>
      </w:r>
    </w:p>
    <w:p>
      <w:pPr>
        <w:pStyle w:val="Heading2"/>
      </w:pPr>
      <w:r>
        <w:t>Erwägungen</w:t>
      </w:r>
    </w:p>
    <w:p>
      <w:r>
        <w:rPr>
          <w:b/>
        </w:rPr>
        <w:t>E. 1</w:t>
      </w:r>
    </w:p>
    <w:p>
      <w:r>
        <w:t>Das Obergericht bezeichnete das Vertragsverhältnis zwischen der NIC und dem Angeschuldigten mit Recht als Agenturvertrag im Sinne von Art. 418 a ff. OR . Der Beschwerdeführer hat die Verpflichtung übernommen, im Namen und auf Rechnung der NIC Verkaufsgeschäfte zu tätigen, ohne dass er zur Auftraggeberin in einem Dienstverhältnis stand. Die Waren blieben daher entgegen der in der Beschwerde vertretenen Auffassung bis zum Verkaufe Eigentum der Gesellschaft, und die eingegangenen Erlöse waren dieser monatlich abzuliefern. Dass Hendriks nach Ziff. 2 des Vertrages "völlig freie Hände" hatte, "über die Produkte der NIC zu verfügen sowie seine Verkaufsanstrengungen zu planieren", ändert daran nichts. Damit wurde nur gesagt, dass der Beschwerdeführer in der Organisation des Verkaufes - abgesehen von der Pflicht zur BGE 92 IV 174 S. 176 Lagerhaltung und zur Einhaltung der von der NIC festgesetzten Preise - frei sei. Die Waren und die an ihre Stelle getretenen Verkaufserlöse waren somit dem Beschwerdeführer gleich wie bei einem Kommissionsverhältnis im Sinne von Art. 140 Ziff. 1 StGB anvertraut, wie die ihm zustehenden Provisionen denn auch als Kommissionen bezeichnet wurden. Die NIC hatte im Gegensatz zu dem in BGE 80 IV 55 beurteilten Falle nicht bloss einen Anspruch auf Herausgabe der eingenommenen Gelder.</w:t>
      </w:r>
    </w:p>
    <w:p>
      <w:r>
        <w:rPr>
          <w:b/>
        </w:rPr>
        <w:t>E. 2</w:t>
      </w:r>
    </w:p>
    <w:p>
      <w:r>
        <w:t>Der Beschwerdeführer wendet ein, der Vertrag vom 1. September 1963 sei, weil Bergstrand nicht namens der NIC hätte auftreten dürfen, nichtig gewesen, habe folglich für ihn auch keine Verpflichtungen begründen können. Dass der.Vertrag ungültig gewesen sei, steht jedoch nicht fest. Bergstrand hat im Verfahren behauptet, dass er die NIC vor etwa drei Jahren in Stockholm als einfache Gesellschaft gegründet habe und ihr alleiniger Inhaber gewesen sei. Diese Behauptung liess sich offenbar bisher nicht widerlegen. Die Vorinstanz hielt zwar Bergstrand gleichwohl nicht für berechtigt, namens der von Bengt Aelmeby geführten NIC aufzutreten. Sie liess aber ausdrücklich offen, ob ein Vertrag zwischen Hendriks und Bergstrand persönlich zustande gekommen sei; diese Frage müsse vom Zivilrichter entschieden werden. In der Tat kann ein gültiger Vertrag zwischen dem Beschwerdeführer und Bergstrand persönlich zustande gekommen sein, auch wenn Bergstrand dabei missbräuchlich die Firma NIC als Deckmantel verwendete. Allein selbst wenn der Vertrag ungültig gewesen sein sollte, wären die Waren und ihr Erlös dem Beschwerdeführer im Sinne von Art. 140 Ziff. 1 StGB anvertraut gewesen. Ob der Vertrag zivilrechtlich gültig war und ob damit eine klagbare Verpflichtung des Beschwerdeführers, die Waren für den Auftraggeber zu verkaufen und ihm den Erlös abzuliefern, begründet wurde, ist unerheblich. Entscheidend ist einzig, dass ihm die Waren zu diesem Zwecke und im Vertrauen darauf, dass er Ware und Erlös bestimmungsgemäss verwende, übergeben wurden. Wie der Kassationshof in BGE 69 IV 77 und BGE 73 IV 172 entschieden hat, setzen die Tatbestände der Veruntreuung und des Betruges überhaupt nicht voraus, dass dem Geschädigten ein zivilrechtlicher Anspruch zustehe. Umsoweniger kann von Belang sein, ob der Geschädigte statt einer Forderung aus Vertrag möglicherweise nur eine solche aus ungerechtfertigter Bereicherung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